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211" w:type="pct"/>
        <w:tblCellMar>
          <w:top w:w="144" w:type="dxa"/>
          <w:left w:w="115" w:type="dxa"/>
          <w:bottom w:w="144" w:type="dxa"/>
          <w:right w:w="115" w:type="dxa"/>
        </w:tblCellMar>
        <w:tblLook w:val="04A0" w:firstRow="1" w:lastRow="0" w:firstColumn="1" w:lastColumn="0" w:noHBand="0" w:noVBand="1"/>
      </w:tblPr>
      <w:tblGrid>
        <w:gridCol w:w="101"/>
        <w:gridCol w:w="3745"/>
        <w:gridCol w:w="4848"/>
        <w:gridCol w:w="286"/>
        <w:gridCol w:w="775"/>
      </w:tblGrid>
      <w:tr w:rsidR="00EA20FC" w:rsidRPr="00DF4247" w14:paraId="6A678497" w14:textId="77777777" w:rsidTr="00B77563">
        <w:trPr>
          <w:gridBefore w:val="1"/>
          <w:gridAfter w:val="1"/>
          <w:wBefore w:w="101" w:type="dxa"/>
          <w:wAfter w:w="775" w:type="dxa"/>
        </w:trPr>
        <w:tc>
          <w:tcPr>
            <w:tcW w:w="8593" w:type="dxa"/>
            <w:gridSpan w:val="2"/>
            <w:shd w:val="clear" w:color="auto" w:fill="auto"/>
            <w:vAlign w:val="center"/>
          </w:tcPr>
          <w:p w14:paraId="6EBF4E61" w14:textId="4EC8C3EE" w:rsidR="00EA20FC" w:rsidRPr="00DF4247" w:rsidRDefault="00EA20FC" w:rsidP="00822D46">
            <w:pPr>
              <w:pStyle w:val="Header"/>
              <w:tabs>
                <w:tab w:val="clear" w:pos="4680"/>
                <w:tab w:val="clear" w:pos="9360"/>
              </w:tabs>
              <w:spacing w:after="0"/>
              <w:rPr>
                <w:rFonts w:cs="Calibri Light"/>
                <w:caps/>
                <w:color w:val="2C3C63"/>
                <w:sz w:val="28"/>
                <w:szCs w:val="28"/>
              </w:rPr>
            </w:pPr>
            <w:r w:rsidRPr="00DF4247">
              <w:rPr>
                <w:sz w:val="28"/>
                <w:szCs w:val="28"/>
              </w:rPr>
              <w:t xml:space="preserve">Utilization Management Program: </w:t>
            </w:r>
            <w:r>
              <w:rPr>
                <w:sz w:val="28"/>
                <w:szCs w:val="28"/>
              </w:rPr>
              <w:t>Concurrent Review</w:t>
            </w:r>
          </w:p>
        </w:tc>
        <w:tc>
          <w:tcPr>
            <w:tcW w:w="286" w:type="dxa"/>
            <w:shd w:val="clear" w:color="auto" w:fill="auto"/>
            <w:vAlign w:val="center"/>
          </w:tcPr>
          <w:p w14:paraId="3C2ECC7C" w14:textId="77777777" w:rsidR="00EA20FC" w:rsidRPr="00DF4247" w:rsidRDefault="00EA20FC" w:rsidP="00822D46">
            <w:pPr>
              <w:pStyle w:val="Header"/>
              <w:tabs>
                <w:tab w:val="clear" w:pos="4680"/>
                <w:tab w:val="clear" w:pos="9360"/>
              </w:tabs>
              <w:spacing w:after="0"/>
              <w:jc w:val="right"/>
              <w:rPr>
                <w:b/>
                <w:caps/>
                <w:color w:val="FFFFFF"/>
                <w:sz w:val="28"/>
                <w:szCs w:val="28"/>
              </w:rPr>
            </w:pPr>
          </w:p>
        </w:tc>
      </w:tr>
      <w:tr w:rsidR="00EA20FC" w14:paraId="56C2F900" w14:textId="77777777" w:rsidTr="00B77563">
        <w:trPr>
          <w:trHeight w:hRule="exact" w:val="115"/>
        </w:trPr>
        <w:tc>
          <w:tcPr>
            <w:tcW w:w="3846" w:type="dxa"/>
            <w:gridSpan w:val="2"/>
            <w:shd w:val="clear" w:color="auto" w:fill="E25231"/>
            <w:tcMar>
              <w:top w:w="0" w:type="dxa"/>
              <w:bottom w:w="0" w:type="dxa"/>
            </w:tcMar>
          </w:tcPr>
          <w:p w14:paraId="20568301" w14:textId="77777777" w:rsidR="00EA20FC" w:rsidRPr="00DF4247" w:rsidRDefault="00EA20FC" w:rsidP="00B21224">
            <w:pPr>
              <w:pStyle w:val="Header"/>
              <w:tabs>
                <w:tab w:val="clear" w:pos="4680"/>
                <w:tab w:val="clear" w:pos="9360"/>
              </w:tabs>
              <w:rPr>
                <w:caps/>
                <w:color w:val="FFFFFF"/>
                <w:sz w:val="18"/>
                <w:szCs w:val="18"/>
              </w:rPr>
            </w:pPr>
          </w:p>
        </w:tc>
        <w:tc>
          <w:tcPr>
            <w:tcW w:w="5909" w:type="dxa"/>
            <w:gridSpan w:val="3"/>
            <w:shd w:val="clear" w:color="auto" w:fill="E25231"/>
            <w:tcMar>
              <w:top w:w="0" w:type="dxa"/>
              <w:bottom w:w="0" w:type="dxa"/>
            </w:tcMar>
          </w:tcPr>
          <w:p w14:paraId="31EC714A" w14:textId="77777777" w:rsidR="00EA20FC" w:rsidRPr="00DF4247" w:rsidRDefault="00EA20FC" w:rsidP="00B21224">
            <w:pPr>
              <w:pStyle w:val="Header"/>
              <w:tabs>
                <w:tab w:val="clear" w:pos="4680"/>
                <w:tab w:val="clear" w:pos="9360"/>
              </w:tabs>
              <w:rPr>
                <w:caps/>
                <w:color w:val="FFFFFF"/>
                <w:sz w:val="18"/>
                <w:szCs w:val="18"/>
              </w:rPr>
            </w:pPr>
          </w:p>
        </w:tc>
      </w:tr>
    </w:tbl>
    <w:p w14:paraId="5FF9019A" w14:textId="77777777" w:rsidR="00EA20FC" w:rsidRDefault="00EA20FC">
      <w:pPr>
        <w:pStyle w:val="Default"/>
        <w:rPr>
          <w:rFonts w:ascii="Arial" w:hAnsi="Arial" w:cs="Arial"/>
          <w:b/>
          <w:bCs/>
          <w:sz w:val="22"/>
          <w:szCs w:val="22"/>
        </w:rPr>
      </w:pPr>
    </w:p>
    <w:p w14:paraId="391FF234" w14:textId="0CAD2437" w:rsidR="00830606" w:rsidRPr="00A72F07" w:rsidRDefault="00EB48D2">
      <w:pPr>
        <w:pStyle w:val="Default"/>
        <w:rPr>
          <w:rFonts w:ascii="Ubuntu" w:hAnsi="Ubuntu" w:cs="Arial"/>
          <w:sz w:val="28"/>
          <w:szCs w:val="28"/>
        </w:rPr>
      </w:pPr>
      <w:r>
        <w:rPr>
          <w:rFonts w:ascii="Ubuntu" w:hAnsi="Ubuntu" w:cs="Arial"/>
          <w:b/>
          <w:bCs/>
          <w:sz w:val="28"/>
          <w:szCs w:val="28"/>
        </w:rPr>
        <w:t>Concurrent Review Process</w:t>
      </w:r>
    </w:p>
    <w:p w14:paraId="199B7448" w14:textId="77777777" w:rsidR="00830606" w:rsidRPr="005D34E4" w:rsidRDefault="00DF324A">
      <w:pPr>
        <w:pStyle w:val="Default"/>
        <w:rPr>
          <w:rFonts w:ascii="Ubuntu" w:hAnsi="Ubuntu" w:cs="Arial"/>
          <w:sz w:val="22"/>
          <w:szCs w:val="22"/>
        </w:rPr>
      </w:pPr>
      <w:r w:rsidRPr="005D34E4">
        <w:rPr>
          <w:rFonts w:ascii="Ubuntu" w:hAnsi="Ubuntu" w:cs="Arial"/>
          <w:b/>
          <w:bCs/>
          <w:sz w:val="22"/>
          <w:szCs w:val="22"/>
        </w:rPr>
        <w:t xml:space="preserve"> </w:t>
      </w:r>
    </w:p>
    <w:p w14:paraId="766B52DB" w14:textId="2D0982ED" w:rsidR="003E3D20" w:rsidRDefault="00DF324A" w:rsidP="00C75DB2">
      <w:r w:rsidRPr="00C75DB2">
        <w:t xml:space="preserve">The </w:t>
      </w:r>
      <w:r w:rsidR="00BA6B73">
        <w:t xml:space="preserve">Payer Compass Utilization Review </w:t>
      </w:r>
      <w:r w:rsidR="00910F73">
        <w:t xml:space="preserve">Department </w:t>
      </w:r>
      <w:r w:rsidR="00F63DD8">
        <w:t xml:space="preserve">assumes the following responsibilities during the </w:t>
      </w:r>
      <w:r w:rsidRPr="00C75DB2">
        <w:t xml:space="preserve">concurrent review </w:t>
      </w:r>
      <w:r w:rsidR="00F63DD8">
        <w:t>process:</w:t>
      </w:r>
    </w:p>
    <w:p w14:paraId="5609995B" w14:textId="47161FDC" w:rsidR="003E3D20" w:rsidRPr="0046075C" w:rsidRDefault="0091401E" w:rsidP="0046075C">
      <w:pPr>
        <w:numPr>
          <w:ilvl w:val="0"/>
          <w:numId w:val="22"/>
        </w:numPr>
        <w:tabs>
          <w:tab w:val="num" w:pos="360"/>
        </w:tabs>
        <w:spacing w:before="120" w:after="0" w:line="240" w:lineRule="auto"/>
        <w:rPr>
          <w:rFonts w:cs="Arial"/>
          <w:snapToGrid w:val="0"/>
        </w:rPr>
      </w:pPr>
      <w:r w:rsidRPr="0046075C">
        <w:rPr>
          <w:rFonts w:cs="Arial"/>
          <w:snapToGrid w:val="0"/>
        </w:rPr>
        <w:t>E</w:t>
      </w:r>
      <w:r w:rsidR="00DF324A" w:rsidRPr="0046075C">
        <w:rPr>
          <w:rFonts w:cs="Arial"/>
          <w:snapToGrid w:val="0"/>
        </w:rPr>
        <w:t>nsure a timely evaluation of the medical necessity, appropriateness, and efficiency of the requested health care services, procedures, and facilities under the provisions of the participant’s health benefits plan and in accordance with Employee Retirement Income Security Act (ERISA) or state-specific regulations whichever is the more stringent.</w:t>
      </w:r>
    </w:p>
    <w:p w14:paraId="302CAE44" w14:textId="53FCCF0F" w:rsidR="003E3D20" w:rsidRPr="0046075C" w:rsidRDefault="0091401E" w:rsidP="0046075C">
      <w:pPr>
        <w:numPr>
          <w:ilvl w:val="0"/>
          <w:numId w:val="22"/>
        </w:numPr>
        <w:tabs>
          <w:tab w:val="num" w:pos="360"/>
        </w:tabs>
        <w:spacing w:before="120" w:after="0" w:line="240" w:lineRule="auto"/>
        <w:rPr>
          <w:rFonts w:cs="Arial"/>
          <w:snapToGrid w:val="0"/>
        </w:rPr>
      </w:pPr>
      <w:r w:rsidRPr="0046075C">
        <w:rPr>
          <w:rFonts w:cs="Arial"/>
          <w:snapToGrid w:val="0"/>
        </w:rPr>
        <w:t>F</w:t>
      </w:r>
      <w:r w:rsidR="00DF324A" w:rsidRPr="0046075C">
        <w:rPr>
          <w:rFonts w:cs="Arial"/>
          <w:snapToGrid w:val="0"/>
        </w:rPr>
        <w:t xml:space="preserve">acilitate medically appropriate discharge of hospitalized participants </w:t>
      </w:r>
    </w:p>
    <w:p w14:paraId="7BC8BB41" w14:textId="36AF4CA1" w:rsidR="00830606" w:rsidRPr="0046075C" w:rsidRDefault="0091401E" w:rsidP="0046075C">
      <w:pPr>
        <w:numPr>
          <w:ilvl w:val="0"/>
          <w:numId w:val="22"/>
        </w:numPr>
        <w:tabs>
          <w:tab w:val="num" w:pos="360"/>
        </w:tabs>
        <w:spacing w:before="120" w:after="0" w:line="240" w:lineRule="auto"/>
        <w:rPr>
          <w:rFonts w:cs="Arial"/>
          <w:snapToGrid w:val="0"/>
        </w:rPr>
      </w:pPr>
      <w:r w:rsidRPr="0046075C">
        <w:rPr>
          <w:rFonts w:cs="Arial"/>
          <w:snapToGrid w:val="0"/>
        </w:rPr>
        <w:t>I</w:t>
      </w:r>
      <w:r w:rsidR="00DF324A" w:rsidRPr="0046075C">
        <w:rPr>
          <w:rFonts w:cs="Arial"/>
          <w:snapToGrid w:val="0"/>
        </w:rPr>
        <w:t>dentify participants who may benefit from further medical management intervention</w:t>
      </w:r>
    </w:p>
    <w:p w14:paraId="0ACAFC1E" w14:textId="7C0AD8E7" w:rsidR="008B1E56" w:rsidRPr="00DF4247" w:rsidRDefault="008B1E56" w:rsidP="008B1E56">
      <w:pPr>
        <w:pStyle w:val="Heading3"/>
      </w:pPr>
      <w:r>
        <w:t xml:space="preserve">The following outlines the </w:t>
      </w:r>
      <w:r w:rsidR="00183574">
        <w:t>C</w:t>
      </w:r>
      <w:r>
        <w:t xml:space="preserve">oncurrent </w:t>
      </w:r>
      <w:r w:rsidR="00183574">
        <w:t>R</w:t>
      </w:r>
      <w:r>
        <w:t>eview procedure:</w:t>
      </w:r>
    </w:p>
    <w:p w14:paraId="076E58DE" w14:textId="77777777" w:rsidR="00316557" w:rsidRPr="005D34E4" w:rsidRDefault="00316557">
      <w:pPr>
        <w:pStyle w:val="Default"/>
        <w:rPr>
          <w:rFonts w:ascii="Ubuntu" w:hAnsi="Ubuntu" w:cs="Arial"/>
          <w:sz w:val="22"/>
          <w:szCs w:val="22"/>
        </w:rPr>
      </w:pPr>
    </w:p>
    <w:p w14:paraId="35FDD4B7" w14:textId="4995D12F" w:rsidR="00830606" w:rsidRPr="000953EC" w:rsidRDefault="00DF324A" w:rsidP="000953EC">
      <w:pPr>
        <w:numPr>
          <w:ilvl w:val="0"/>
          <w:numId w:val="27"/>
        </w:numPr>
      </w:pPr>
      <w:r w:rsidRPr="000953EC">
        <w:t xml:space="preserve">The Concurrent Review determination is based on medical information obtained at the time of the </w:t>
      </w:r>
      <w:r w:rsidR="00E40858">
        <w:t>Concurrent</w:t>
      </w:r>
      <w:r w:rsidRPr="000953EC">
        <w:t xml:space="preserve"> Review.</w:t>
      </w:r>
    </w:p>
    <w:p w14:paraId="1DD8B37D" w14:textId="19797327" w:rsidR="004C68F2" w:rsidRPr="000953EC" w:rsidRDefault="00502C44" w:rsidP="000953EC">
      <w:pPr>
        <w:numPr>
          <w:ilvl w:val="0"/>
          <w:numId w:val="27"/>
        </w:numPr>
      </w:pPr>
      <w:r>
        <w:t>Pertinent m</w:t>
      </w:r>
      <w:r w:rsidR="00CE4BB5">
        <w:t>edical i</w:t>
      </w:r>
      <w:r w:rsidR="004C68F2" w:rsidRPr="000953EC">
        <w:t>nformation may be obtained from reliable source</w:t>
      </w:r>
      <w:r w:rsidR="00F36B7D">
        <w:t>s</w:t>
      </w:r>
      <w:r w:rsidR="008B47E2" w:rsidRPr="000953EC">
        <w:t>, including the patient’s medical records</w:t>
      </w:r>
      <w:r w:rsidR="0042498D">
        <w:t xml:space="preserve"> or treating providers</w:t>
      </w:r>
      <w:r w:rsidR="008B47E2" w:rsidRPr="000953EC">
        <w:t xml:space="preserve">, to provide evidence </w:t>
      </w:r>
      <w:r w:rsidR="00415F47">
        <w:t>supporting</w:t>
      </w:r>
      <w:r w:rsidR="008B47E2" w:rsidRPr="000953EC">
        <w:t xml:space="preserve"> medical necessity</w:t>
      </w:r>
      <w:r w:rsidR="00415F47">
        <w:t xml:space="preserve">, </w:t>
      </w:r>
      <w:r w:rsidR="008B47E2" w:rsidRPr="000953EC">
        <w:t>appropriateness of the admission or extension of stay, frequency</w:t>
      </w:r>
      <w:r w:rsidR="00A24D9C">
        <w:t>,</w:t>
      </w:r>
      <w:r w:rsidR="008B47E2" w:rsidRPr="000953EC">
        <w:t xml:space="preserve"> or duration of service.</w:t>
      </w:r>
      <w:r w:rsidR="004C68F2" w:rsidRPr="000953EC">
        <w:t xml:space="preserve"> </w:t>
      </w:r>
    </w:p>
    <w:p w14:paraId="6FFFE54C" w14:textId="6C195E77" w:rsidR="008B47E2" w:rsidRPr="000953EC" w:rsidRDefault="00A54975" w:rsidP="000953EC">
      <w:pPr>
        <w:numPr>
          <w:ilvl w:val="0"/>
          <w:numId w:val="27"/>
        </w:numPr>
      </w:pPr>
      <w:r w:rsidRPr="000953EC">
        <w:t>After initial certification, the provider/facility is contacted via telephone or facsimile and given an authorization number and number of extended days or units of service authorized, the next anticipated review, the total number of days or units of service authorized</w:t>
      </w:r>
      <w:r w:rsidR="009A5CF8">
        <w:t>,</w:t>
      </w:r>
      <w:r w:rsidRPr="000953EC">
        <w:t xml:space="preserve"> and confirmation of admission date or onset of services. </w:t>
      </w:r>
      <w:r w:rsidR="008B47E2" w:rsidRPr="000953EC">
        <w:t xml:space="preserve">Upon request, written notification is provided to the ordering physician/provider, the facility rendering </w:t>
      </w:r>
      <w:r w:rsidR="00B3069B">
        <w:t xml:space="preserve">the </w:t>
      </w:r>
      <w:r w:rsidR="008B47E2" w:rsidRPr="000953EC">
        <w:t xml:space="preserve">service, and </w:t>
      </w:r>
      <w:r w:rsidR="00B3069B">
        <w:t xml:space="preserve">the </w:t>
      </w:r>
      <w:r w:rsidR="008B47E2" w:rsidRPr="000953EC">
        <w:t>patient.</w:t>
      </w:r>
    </w:p>
    <w:p w14:paraId="017DBAC2" w14:textId="4EF9C91C" w:rsidR="00316557" w:rsidRPr="00316557" w:rsidRDefault="00A54975" w:rsidP="00316557">
      <w:pPr>
        <w:numPr>
          <w:ilvl w:val="0"/>
          <w:numId w:val="27"/>
        </w:numPr>
        <w:rPr>
          <w:rFonts w:cs="Arial"/>
        </w:rPr>
      </w:pPr>
      <w:r w:rsidRPr="00316557">
        <w:t xml:space="preserve">The review frequency for extending the stay is based on the criteria and guidelines found in </w:t>
      </w:r>
      <w:r w:rsidRPr="00B3252B">
        <w:t xml:space="preserve">the </w:t>
      </w:r>
      <w:r w:rsidR="00B3252B" w:rsidRPr="00B3252B">
        <w:t xml:space="preserve">Clinical Criteria Selection </w:t>
      </w:r>
      <w:r w:rsidR="00B3252B">
        <w:t>a</w:t>
      </w:r>
      <w:r w:rsidR="00B3252B" w:rsidRPr="00B3252B">
        <w:t>nd Maintenance</w:t>
      </w:r>
      <w:r w:rsidR="00B3252B">
        <w:t xml:space="preserve"> Policy</w:t>
      </w:r>
      <w:r w:rsidRPr="00316557">
        <w:t>.</w:t>
      </w:r>
    </w:p>
    <w:p w14:paraId="5899A058" w14:textId="2C8EE897" w:rsidR="00830606" w:rsidRPr="00316557" w:rsidRDefault="00DF324A" w:rsidP="00316557">
      <w:pPr>
        <w:numPr>
          <w:ilvl w:val="0"/>
          <w:numId w:val="27"/>
        </w:numPr>
        <w:rPr>
          <w:rFonts w:cs="Arial"/>
        </w:rPr>
      </w:pPr>
      <w:r w:rsidRPr="00316557">
        <w:rPr>
          <w:rFonts w:cs="Arial"/>
        </w:rPr>
        <w:t xml:space="preserve">For requests to extend a current course of </w:t>
      </w:r>
      <w:r w:rsidR="000D68D4" w:rsidRPr="006F3B64">
        <w:rPr>
          <w:rFonts w:cs="Arial"/>
          <w:b/>
          <w:bCs/>
        </w:rPr>
        <w:t>inpatient</w:t>
      </w:r>
      <w:r w:rsidR="000D68D4" w:rsidRPr="00316557">
        <w:rPr>
          <w:rFonts w:cs="Arial"/>
        </w:rPr>
        <w:t xml:space="preserve"> </w:t>
      </w:r>
      <w:r w:rsidRPr="00316557">
        <w:rPr>
          <w:rFonts w:cs="Arial"/>
        </w:rPr>
        <w:t xml:space="preserve">treatment, the </w:t>
      </w:r>
      <w:r w:rsidR="005B2FBF" w:rsidRPr="00316557">
        <w:rPr>
          <w:rFonts w:cs="Arial"/>
        </w:rPr>
        <w:t>Payer Compass</w:t>
      </w:r>
      <w:r w:rsidRPr="00316557">
        <w:rPr>
          <w:rFonts w:cs="Arial"/>
        </w:rPr>
        <w:t xml:space="preserve"> Clinical Reviewer issues the determination within: </w:t>
      </w:r>
    </w:p>
    <w:p w14:paraId="18A92D42" w14:textId="451CC357" w:rsidR="00830606" w:rsidRPr="005D34E4" w:rsidRDefault="00DF324A" w:rsidP="00316557">
      <w:pPr>
        <w:pStyle w:val="Default"/>
        <w:numPr>
          <w:ilvl w:val="1"/>
          <w:numId w:val="27"/>
        </w:numPr>
        <w:rPr>
          <w:rFonts w:ascii="Ubuntu" w:hAnsi="Ubuntu" w:cs="Arial"/>
          <w:sz w:val="22"/>
          <w:szCs w:val="22"/>
        </w:rPr>
      </w:pPr>
      <w:r w:rsidRPr="005D34E4">
        <w:rPr>
          <w:rFonts w:ascii="Ubuntu" w:hAnsi="Ubuntu" w:cs="Arial"/>
          <w:sz w:val="22"/>
          <w:szCs w:val="22"/>
        </w:rPr>
        <w:t>Twenty-four (24) hours of the request for a Utilization Management determination, if it is a case involving urgent care and the request for extension was received at least twenty-four (24) hours before the expiration of the currently certified period or treatments</w:t>
      </w:r>
      <w:r w:rsidR="002C4B98">
        <w:rPr>
          <w:rFonts w:ascii="Ubuntu" w:hAnsi="Ubuntu" w:cs="Arial"/>
          <w:sz w:val="22"/>
          <w:szCs w:val="22"/>
        </w:rPr>
        <w:t>.</w:t>
      </w:r>
      <w:r w:rsidRPr="005D34E4">
        <w:rPr>
          <w:rFonts w:ascii="Ubuntu" w:hAnsi="Ubuntu" w:cs="Arial"/>
          <w:sz w:val="22"/>
          <w:szCs w:val="22"/>
        </w:rPr>
        <w:t xml:space="preserve">  </w:t>
      </w:r>
    </w:p>
    <w:p w14:paraId="2D39F5EC" w14:textId="1D10462C" w:rsidR="00830606" w:rsidRDefault="00DF324A" w:rsidP="00316557">
      <w:pPr>
        <w:pStyle w:val="Default"/>
        <w:numPr>
          <w:ilvl w:val="1"/>
          <w:numId w:val="27"/>
        </w:numPr>
        <w:rPr>
          <w:rFonts w:ascii="Ubuntu" w:hAnsi="Ubuntu" w:cs="Arial"/>
          <w:sz w:val="22"/>
          <w:szCs w:val="22"/>
        </w:rPr>
      </w:pPr>
      <w:r w:rsidRPr="005D34E4">
        <w:rPr>
          <w:rFonts w:ascii="Ubuntu" w:hAnsi="Ubuntu" w:cs="Arial"/>
          <w:sz w:val="22"/>
          <w:szCs w:val="22"/>
        </w:rPr>
        <w:t xml:space="preserve">Seventy-two (72) hours of the request for Utilization Management determination, if it is a case involving urgent care and the request for extension was received less than twenty-four (24) hours before the expiration of the </w:t>
      </w:r>
      <w:r w:rsidRPr="005D34E4">
        <w:rPr>
          <w:rFonts w:ascii="Ubuntu" w:hAnsi="Ubuntu" w:cs="Arial"/>
          <w:sz w:val="22"/>
          <w:szCs w:val="22"/>
        </w:rPr>
        <w:lastRenderedPageBreak/>
        <w:t>currently certified period or treatments.</w:t>
      </w:r>
    </w:p>
    <w:p w14:paraId="1460C8F9" w14:textId="77777777" w:rsidR="006F3B64" w:rsidRDefault="006F3B64" w:rsidP="006F3B64">
      <w:pPr>
        <w:pStyle w:val="NoSpacing"/>
      </w:pPr>
    </w:p>
    <w:p w14:paraId="239C3A60" w14:textId="55669BA6" w:rsidR="000D68D4" w:rsidRPr="00316557" w:rsidRDefault="000D68D4" w:rsidP="00316557">
      <w:pPr>
        <w:pStyle w:val="ListParagraph"/>
        <w:numPr>
          <w:ilvl w:val="0"/>
          <w:numId w:val="27"/>
        </w:numPr>
      </w:pPr>
      <w:r w:rsidRPr="00316557">
        <w:t xml:space="preserve">For requests to extend a current course of </w:t>
      </w:r>
      <w:r w:rsidRPr="006F3B64">
        <w:rPr>
          <w:b/>
          <w:bCs/>
        </w:rPr>
        <w:t>outpatient</w:t>
      </w:r>
      <w:r w:rsidRPr="00316557">
        <w:t xml:space="preserve"> (both urgent and non-urgent) treatment</w:t>
      </w:r>
      <w:r w:rsidR="00DF324A" w:rsidRPr="00316557">
        <w:t xml:space="preserve">, </w:t>
      </w:r>
      <w:r w:rsidRPr="00316557">
        <w:t xml:space="preserve">see </w:t>
      </w:r>
      <w:r w:rsidR="00204D84">
        <w:t xml:space="preserve">the </w:t>
      </w:r>
      <w:r w:rsidR="00930AE3" w:rsidRPr="00660E6E">
        <w:t>Precertification Review</w:t>
      </w:r>
      <w:r w:rsidR="00204D84">
        <w:t xml:space="preserve"> Policy</w:t>
      </w:r>
      <w:r w:rsidR="00930AE3" w:rsidRPr="00316557">
        <w:t xml:space="preserve">. </w:t>
      </w:r>
    </w:p>
    <w:p w14:paraId="372F681D" w14:textId="14BD2334" w:rsidR="00DE63E2" w:rsidRPr="00316557" w:rsidRDefault="00DE63E2" w:rsidP="00316557">
      <w:pPr>
        <w:pStyle w:val="ListParagraph"/>
        <w:numPr>
          <w:ilvl w:val="0"/>
          <w:numId w:val="27"/>
        </w:numPr>
      </w:pPr>
      <w:r w:rsidRPr="00316557">
        <w:t xml:space="preserve">When continued stay criteria is met, the process </w:t>
      </w:r>
      <w:r w:rsidR="00997E65" w:rsidRPr="00316557">
        <w:t>repeats until the patient is discharged for one or more reasons (termination of benefits, no longer meet the criteria, or patient is discharged to an alternate level of care).</w:t>
      </w:r>
    </w:p>
    <w:p w14:paraId="1B4E3F17" w14:textId="2BBC9770" w:rsidR="00830606" w:rsidRPr="00316557" w:rsidRDefault="00DF324A" w:rsidP="00316557">
      <w:pPr>
        <w:pStyle w:val="ListParagraph"/>
        <w:numPr>
          <w:ilvl w:val="0"/>
          <w:numId w:val="27"/>
        </w:numPr>
      </w:pPr>
      <w:r w:rsidRPr="00316557">
        <w:t xml:space="preserve">When continued stay criteria is not met, the case is referred the </w:t>
      </w:r>
      <w:r w:rsidR="005B2FBF" w:rsidRPr="00316557">
        <w:t>Payer Compass</w:t>
      </w:r>
      <w:r w:rsidRPr="00316557">
        <w:t xml:space="preserve"> Medical Director</w:t>
      </w:r>
      <w:r w:rsidR="00997E65" w:rsidRPr="00316557">
        <w:t xml:space="preserve"> or IRO (Independent Review Organization) </w:t>
      </w:r>
      <w:r w:rsidR="00CA7026" w:rsidRPr="00316557">
        <w:t xml:space="preserve">for a determination including </w:t>
      </w:r>
      <w:r w:rsidR="00CA7026" w:rsidRPr="00660E6E">
        <w:t xml:space="preserve">peer-to-peer review and/or appeal of adverse determination as indicated in </w:t>
      </w:r>
      <w:r w:rsidR="006822F3" w:rsidRPr="00660E6E">
        <w:t xml:space="preserve">the Peer-to-Peer </w:t>
      </w:r>
      <w:r w:rsidRPr="00660E6E">
        <w:t>Denial of Authorization Requests</w:t>
      </w:r>
      <w:r w:rsidR="006822F3" w:rsidRPr="00660E6E">
        <w:t xml:space="preserve"> Policy</w:t>
      </w:r>
      <w:r w:rsidRPr="00316557">
        <w:t xml:space="preserve">. </w:t>
      </w:r>
    </w:p>
    <w:p w14:paraId="37DE39BB" w14:textId="12AEE947" w:rsidR="0050242B" w:rsidRPr="00316557" w:rsidRDefault="0050242B" w:rsidP="0050242B">
      <w:pPr>
        <w:pStyle w:val="ListParagraph"/>
        <w:numPr>
          <w:ilvl w:val="0"/>
          <w:numId w:val="27"/>
        </w:numPr>
      </w:pPr>
      <w:r w:rsidRPr="00316557">
        <w:t>If the patient is discharged prior to approving the next course of stay</w:t>
      </w:r>
      <w:r>
        <w:t>,</w:t>
      </w:r>
      <w:r w:rsidRPr="00316557">
        <w:t xml:space="preserve"> </w:t>
      </w:r>
      <w:r>
        <w:t xml:space="preserve">the request </w:t>
      </w:r>
      <w:r w:rsidRPr="00316557">
        <w:t xml:space="preserve">would be treated as a Retrospective Review (see </w:t>
      </w:r>
      <w:r w:rsidR="00660E6E">
        <w:t xml:space="preserve">the </w:t>
      </w:r>
      <w:r w:rsidRPr="00660E6E">
        <w:t>Retrospective Review</w:t>
      </w:r>
      <w:r w:rsidR="0046075C" w:rsidRPr="00660E6E">
        <w:t xml:space="preserve"> Policy</w:t>
      </w:r>
      <w:r w:rsidRPr="00660E6E">
        <w:t>).</w:t>
      </w:r>
      <w:r w:rsidRPr="00316557">
        <w:t xml:space="preserve"> </w:t>
      </w:r>
    </w:p>
    <w:p w14:paraId="3081D605" w14:textId="6F833FA5" w:rsidR="0054410C" w:rsidRPr="00316557" w:rsidRDefault="005B2FBF" w:rsidP="00316557">
      <w:pPr>
        <w:pStyle w:val="ListParagraph"/>
        <w:numPr>
          <w:ilvl w:val="0"/>
          <w:numId w:val="27"/>
        </w:numPr>
      </w:pPr>
      <w:r w:rsidRPr="00316557">
        <w:t>Payer Compass</w:t>
      </w:r>
      <w:r w:rsidR="0054410C" w:rsidRPr="00316557">
        <w:t xml:space="preserve"> does not reverse a certification determination unless it receives new information relevant to the certification that was not available at the time of the original certification. </w:t>
      </w:r>
    </w:p>
    <w:sectPr w:rsidR="0054410C" w:rsidRPr="00316557" w:rsidSect="00756DA6">
      <w:headerReference w:type="default" r:id="rId10"/>
      <w:footerReference w:type="default" r:id="rId11"/>
      <w:pgSz w:w="12240" w:h="15840" w:code="1"/>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D0A8D" w14:textId="77777777" w:rsidR="002D3FD0" w:rsidRDefault="002D3FD0" w:rsidP="005B2FBF">
      <w:pPr>
        <w:spacing w:after="0" w:line="240" w:lineRule="auto"/>
      </w:pPr>
      <w:r>
        <w:separator/>
      </w:r>
    </w:p>
  </w:endnote>
  <w:endnote w:type="continuationSeparator" w:id="0">
    <w:p w14:paraId="49475221" w14:textId="77777777" w:rsidR="002D3FD0" w:rsidRDefault="002D3FD0" w:rsidP="005B2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buntu">
    <w:panose1 w:val="020B0504030602030204"/>
    <w:charset w:val="00"/>
    <w:family w:val="swiss"/>
    <w:pitch w:val="variable"/>
    <w:sig w:usb0="E00002FF" w:usb1="5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A47AA" w14:textId="766D6084" w:rsidR="0031649F" w:rsidRPr="0031649F" w:rsidRDefault="0031649F" w:rsidP="00520BF1">
    <w:pPr>
      <w:tabs>
        <w:tab w:val="center" w:pos="4550"/>
        <w:tab w:val="left" w:pos="8550"/>
        <w:tab w:val="left" w:pos="8820"/>
        <w:tab w:val="left" w:pos="9000"/>
        <w:tab w:val="left" w:pos="9630"/>
      </w:tabs>
      <w:ind w:left="6290" w:right="360" w:firstLine="1810"/>
      <w:rPr>
        <w:rFonts w:cs="Arial"/>
        <w:noProof/>
        <w:color w:val="323E4F"/>
        <w:sz w:val="20"/>
        <w:szCs w:val="24"/>
      </w:rPr>
    </w:pPr>
    <w:r>
      <w:rPr>
        <w:noProof/>
      </w:rPr>
      <w:drawing>
        <wp:anchor distT="0" distB="0" distL="114300" distR="114300" simplePos="0" relativeHeight="251659776" behindDoc="1" locked="0" layoutInCell="1" allowOverlap="1" wp14:anchorId="60F8D7AD" wp14:editId="5EAC703A">
          <wp:simplePos x="0" y="0"/>
          <wp:positionH relativeFrom="column">
            <wp:posOffset>-441325</wp:posOffset>
          </wp:positionH>
          <wp:positionV relativeFrom="paragraph">
            <wp:posOffset>46990</wp:posOffset>
          </wp:positionV>
          <wp:extent cx="1810385" cy="292735"/>
          <wp:effectExtent l="0" t="0" r="0" b="0"/>
          <wp:wrapThrough wrapText="bothSides">
            <wp:wrapPolygon edited="0">
              <wp:start x="0" y="0"/>
              <wp:lineTo x="0" y="19679"/>
              <wp:lineTo x="21365" y="19679"/>
              <wp:lineTo x="21365" y="0"/>
              <wp:lineTo x="0" y="0"/>
            </wp:wrapPolygon>
          </wp:wrapThrough>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0385" cy="292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4E8D">
      <w:rPr>
        <w:rFonts w:cs="Arial"/>
        <w:spacing w:val="60"/>
        <w:sz w:val="20"/>
        <w:szCs w:val="24"/>
      </w:rPr>
      <w:t>Page</w:t>
    </w:r>
    <w:r w:rsidRPr="00DF4247">
      <w:rPr>
        <w:rFonts w:cs="Arial"/>
        <w:color w:val="323E4F"/>
        <w:sz w:val="20"/>
        <w:szCs w:val="24"/>
      </w:rPr>
      <w:fldChar w:fldCharType="begin"/>
    </w:r>
    <w:r w:rsidRPr="00DF4247">
      <w:rPr>
        <w:rFonts w:cs="Arial"/>
        <w:color w:val="323E4F"/>
        <w:sz w:val="20"/>
        <w:szCs w:val="24"/>
      </w:rPr>
      <w:instrText xml:space="preserve"> PAGE   \* MERGEFORMAT </w:instrText>
    </w:r>
    <w:r w:rsidRPr="00DF4247">
      <w:rPr>
        <w:rFonts w:cs="Arial"/>
        <w:color w:val="323E4F"/>
        <w:sz w:val="20"/>
        <w:szCs w:val="24"/>
      </w:rPr>
      <w:fldChar w:fldCharType="separate"/>
    </w:r>
    <w:r>
      <w:rPr>
        <w:rFonts w:cs="Arial"/>
        <w:color w:val="323E4F"/>
        <w:sz w:val="20"/>
        <w:szCs w:val="24"/>
      </w:rPr>
      <w:t>1</w:t>
    </w:r>
    <w:r w:rsidRPr="00DF4247">
      <w:rPr>
        <w:rFonts w:cs="Arial"/>
        <w:noProof/>
        <w:color w:val="323E4F"/>
        <w:sz w:val="20"/>
        <w:szCs w:val="24"/>
      </w:rPr>
      <w:fldChar w:fldCharType="end"/>
    </w:r>
    <w:r w:rsidR="00C92468">
      <w:rPr>
        <w:rFonts w:cs="Arial"/>
        <w:noProof/>
        <w:color w:val="323E4F"/>
        <w:sz w:val="20"/>
        <w:szCs w:val="24"/>
      </w:rPr>
      <w:br/>
    </w:r>
    <w:r w:rsidRPr="00CF4E8D">
      <w:rPr>
        <w:sz w:val="20"/>
        <w:szCs w:val="20"/>
      </w:rPr>
      <w:t>Created/Revised: 05-06-2022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FD9AA" w14:textId="77777777" w:rsidR="002D3FD0" w:rsidRDefault="002D3FD0" w:rsidP="005B2FBF">
      <w:pPr>
        <w:spacing w:after="0" w:line="240" w:lineRule="auto"/>
      </w:pPr>
      <w:r>
        <w:separator/>
      </w:r>
    </w:p>
  </w:footnote>
  <w:footnote w:type="continuationSeparator" w:id="0">
    <w:p w14:paraId="1851DFA0" w14:textId="77777777" w:rsidR="002D3FD0" w:rsidRDefault="002D3FD0" w:rsidP="005B2F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A3AF2" w14:textId="7B5CF7FE" w:rsidR="005B2FBF" w:rsidRDefault="00CA7026">
    <w:pPr>
      <w:pStyle w:val="Header"/>
    </w:pPr>
    <w:r>
      <w:rPr>
        <w:noProof/>
      </w:rPr>
      <w:drawing>
        <wp:anchor distT="0" distB="0" distL="114300" distR="114300" simplePos="0" relativeHeight="251657728" behindDoc="0" locked="0" layoutInCell="1" allowOverlap="0" wp14:anchorId="03DD5F0E" wp14:editId="44D6B14F">
          <wp:simplePos x="0" y="0"/>
          <wp:positionH relativeFrom="column">
            <wp:posOffset>1644015</wp:posOffset>
          </wp:positionH>
          <wp:positionV relativeFrom="paragraph">
            <wp:posOffset>-207010</wp:posOffset>
          </wp:positionV>
          <wp:extent cx="2651760" cy="429895"/>
          <wp:effectExtent l="0" t="0" r="0" b="0"/>
          <wp:wrapSquare wrapText="bothSides"/>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1760" cy="4298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78D96E"/>
    <w:multiLevelType w:val="hybridMultilevel"/>
    <w:tmpl w:val="5E20563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6B5B54E"/>
    <w:multiLevelType w:val="hybridMultilevel"/>
    <w:tmpl w:val="E8B7E2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AAAD02A"/>
    <w:multiLevelType w:val="hybridMultilevel"/>
    <w:tmpl w:val="0C111AA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B37DFE1"/>
    <w:multiLevelType w:val="hybridMultilevel"/>
    <w:tmpl w:val="3653AFB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5432D40"/>
    <w:multiLevelType w:val="hybridMultilevel"/>
    <w:tmpl w:val="BD420F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1C93670"/>
    <w:multiLevelType w:val="hybridMultilevel"/>
    <w:tmpl w:val="6B181F6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C85E864"/>
    <w:multiLevelType w:val="hybridMultilevel"/>
    <w:tmpl w:val="6191273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1D94D62"/>
    <w:multiLevelType w:val="hybridMultilevel"/>
    <w:tmpl w:val="119CB9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41B2905"/>
    <w:multiLevelType w:val="hybridMultilevel"/>
    <w:tmpl w:val="DAAE0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880406"/>
    <w:multiLevelType w:val="hybridMultilevel"/>
    <w:tmpl w:val="34D576D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BE450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2B47127"/>
    <w:multiLevelType w:val="hybridMultilevel"/>
    <w:tmpl w:val="00E05F1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9D253B4"/>
    <w:multiLevelType w:val="multilevel"/>
    <w:tmpl w:val="D4C04A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2222BA"/>
    <w:multiLevelType w:val="hybridMultilevel"/>
    <w:tmpl w:val="6F87C5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24F5A23"/>
    <w:multiLevelType w:val="hybridMultilevel"/>
    <w:tmpl w:val="0C00B2A6"/>
    <w:lvl w:ilvl="0" w:tplc="0409000F">
      <w:start w:val="1"/>
      <w:numFmt w:val="decimal"/>
      <w:lvlText w:val="%1."/>
      <w:lvlJc w:val="left"/>
      <w:pPr>
        <w:ind w:left="720" w:hanging="360"/>
      </w:pPr>
      <w:rPr>
        <w:rFonts w:hint="default"/>
      </w:rPr>
    </w:lvl>
    <w:lvl w:ilvl="1" w:tplc="33547C5C">
      <w:start w:val="2"/>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DD4488"/>
    <w:multiLevelType w:val="hybridMultilevel"/>
    <w:tmpl w:val="45B0E406"/>
    <w:lvl w:ilvl="0" w:tplc="48E839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832E9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6097AEA"/>
    <w:multiLevelType w:val="hybridMultilevel"/>
    <w:tmpl w:val="726E8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524FF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F0C2346"/>
    <w:multiLevelType w:val="multilevel"/>
    <w:tmpl w:val="C220F8F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0D048F3"/>
    <w:multiLevelType w:val="multilevel"/>
    <w:tmpl w:val="B9685F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4AA73B9"/>
    <w:multiLevelType w:val="hybridMultilevel"/>
    <w:tmpl w:val="942405C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5C61BA8"/>
    <w:multiLevelType w:val="hybridMultilevel"/>
    <w:tmpl w:val="60B43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D033F6"/>
    <w:multiLevelType w:val="hybridMultilevel"/>
    <w:tmpl w:val="CC7D30F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F5694BA"/>
    <w:multiLevelType w:val="hybridMultilevel"/>
    <w:tmpl w:val="18E49E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75B5682C"/>
    <w:multiLevelType w:val="multilevel"/>
    <w:tmpl w:val="70A8432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6B0EE14"/>
    <w:multiLevelType w:val="hybridMultilevel"/>
    <w:tmpl w:val="78BA762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23"/>
  </w:num>
  <w:num w:numId="3">
    <w:abstractNumId w:val="4"/>
  </w:num>
  <w:num w:numId="4">
    <w:abstractNumId w:val="13"/>
  </w:num>
  <w:num w:numId="5">
    <w:abstractNumId w:val="0"/>
  </w:num>
  <w:num w:numId="6">
    <w:abstractNumId w:val="26"/>
  </w:num>
  <w:num w:numId="7">
    <w:abstractNumId w:val="6"/>
  </w:num>
  <w:num w:numId="8">
    <w:abstractNumId w:val="7"/>
  </w:num>
  <w:num w:numId="9">
    <w:abstractNumId w:val="21"/>
  </w:num>
  <w:num w:numId="10">
    <w:abstractNumId w:val="5"/>
  </w:num>
  <w:num w:numId="11">
    <w:abstractNumId w:val="24"/>
  </w:num>
  <w:num w:numId="12">
    <w:abstractNumId w:val="11"/>
  </w:num>
  <w:num w:numId="13">
    <w:abstractNumId w:val="1"/>
  </w:num>
  <w:num w:numId="14">
    <w:abstractNumId w:val="3"/>
  </w:num>
  <w:num w:numId="15">
    <w:abstractNumId w:val="2"/>
  </w:num>
  <w:num w:numId="16">
    <w:abstractNumId w:val="18"/>
  </w:num>
  <w:num w:numId="17">
    <w:abstractNumId w:val="14"/>
  </w:num>
  <w:num w:numId="18">
    <w:abstractNumId w:val="16"/>
  </w:num>
  <w:num w:numId="19">
    <w:abstractNumId w:val="10"/>
  </w:num>
  <w:num w:numId="20">
    <w:abstractNumId w:val="8"/>
  </w:num>
  <w:num w:numId="21">
    <w:abstractNumId w:val="15"/>
  </w:num>
  <w:num w:numId="22">
    <w:abstractNumId w:val="17"/>
  </w:num>
  <w:num w:numId="23">
    <w:abstractNumId w:val="25"/>
  </w:num>
  <w:num w:numId="24">
    <w:abstractNumId w:val="20"/>
  </w:num>
  <w:num w:numId="25">
    <w:abstractNumId w:val="19"/>
  </w:num>
  <w:num w:numId="26">
    <w:abstractNumId w:val="12"/>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891"/>
    <w:rsid w:val="00000301"/>
    <w:rsid w:val="000341C4"/>
    <w:rsid w:val="00055A39"/>
    <w:rsid w:val="000953EC"/>
    <w:rsid w:val="000A008E"/>
    <w:rsid w:val="000D68D4"/>
    <w:rsid w:val="000E1C0E"/>
    <w:rsid w:val="000F6188"/>
    <w:rsid w:val="00106EC5"/>
    <w:rsid w:val="001435E0"/>
    <w:rsid w:val="00180BAB"/>
    <w:rsid w:val="00183574"/>
    <w:rsid w:val="001D0C9E"/>
    <w:rsid w:val="001D6473"/>
    <w:rsid w:val="001E69D2"/>
    <w:rsid w:val="001F6178"/>
    <w:rsid w:val="00204D84"/>
    <w:rsid w:val="002C4B98"/>
    <w:rsid w:val="002D3FD0"/>
    <w:rsid w:val="00304891"/>
    <w:rsid w:val="0031649F"/>
    <w:rsid w:val="00316557"/>
    <w:rsid w:val="00334F88"/>
    <w:rsid w:val="00365D2C"/>
    <w:rsid w:val="00367DA1"/>
    <w:rsid w:val="00394CF3"/>
    <w:rsid w:val="003B31AF"/>
    <w:rsid w:val="003B4F85"/>
    <w:rsid w:val="003C794D"/>
    <w:rsid w:val="003C7F80"/>
    <w:rsid w:val="003E3D20"/>
    <w:rsid w:val="00403838"/>
    <w:rsid w:val="00412549"/>
    <w:rsid w:val="00415F47"/>
    <w:rsid w:val="00422763"/>
    <w:rsid w:val="0042498D"/>
    <w:rsid w:val="00432974"/>
    <w:rsid w:val="0046075C"/>
    <w:rsid w:val="0048593D"/>
    <w:rsid w:val="00494C43"/>
    <w:rsid w:val="004C68F2"/>
    <w:rsid w:val="00501E9F"/>
    <w:rsid w:val="0050242B"/>
    <w:rsid w:val="00502C44"/>
    <w:rsid w:val="00506C07"/>
    <w:rsid w:val="00513862"/>
    <w:rsid w:val="00520BF1"/>
    <w:rsid w:val="0054410C"/>
    <w:rsid w:val="005815B1"/>
    <w:rsid w:val="005B2FBF"/>
    <w:rsid w:val="005D34E4"/>
    <w:rsid w:val="005F267D"/>
    <w:rsid w:val="00612136"/>
    <w:rsid w:val="006143AC"/>
    <w:rsid w:val="00616AFD"/>
    <w:rsid w:val="006319F1"/>
    <w:rsid w:val="00645EAF"/>
    <w:rsid w:val="00660E6E"/>
    <w:rsid w:val="00675B80"/>
    <w:rsid w:val="006822F3"/>
    <w:rsid w:val="006C544C"/>
    <w:rsid w:val="006D5D7F"/>
    <w:rsid w:val="006F3B64"/>
    <w:rsid w:val="00735123"/>
    <w:rsid w:val="0073775C"/>
    <w:rsid w:val="00756DA6"/>
    <w:rsid w:val="00771164"/>
    <w:rsid w:val="007C5462"/>
    <w:rsid w:val="007D2C51"/>
    <w:rsid w:val="007D47B2"/>
    <w:rsid w:val="00822D46"/>
    <w:rsid w:val="00830606"/>
    <w:rsid w:val="00887D69"/>
    <w:rsid w:val="00887F6F"/>
    <w:rsid w:val="008A1F7F"/>
    <w:rsid w:val="008B1C67"/>
    <w:rsid w:val="008B1E56"/>
    <w:rsid w:val="008B47E2"/>
    <w:rsid w:val="008D6792"/>
    <w:rsid w:val="00910F73"/>
    <w:rsid w:val="0091401E"/>
    <w:rsid w:val="00930AE3"/>
    <w:rsid w:val="00997E65"/>
    <w:rsid w:val="009A3D1F"/>
    <w:rsid w:val="009A5CF8"/>
    <w:rsid w:val="009D665B"/>
    <w:rsid w:val="009E63C9"/>
    <w:rsid w:val="00A24D9C"/>
    <w:rsid w:val="00A33ACD"/>
    <w:rsid w:val="00A50C83"/>
    <w:rsid w:val="00A54975"/>
    <w:rsid w:val="00A72F07"/>
    <w:rsid w:val="00A7672E"/>
    <w:rsid w:val="00A858F1"/>
    <w:rsid w:val="00AE5C20"/>
    <w:rsid w:val="00AF40B4"/>
    <w:rsid w:val="00B04BF6"/>
    <w:rsid w:val="00B0588B"/>
    <w:rsid w:val="00B26D0A"/>
    <w:rsid w:val="00B3069B"/>
    <w:rsid w:val="00B311D2"/>
    <w:rsid w:val="00B3252B"/>
    <w:rsid w:val="00B77563"/>
    <w:rsid w:val="00B81C08"/>
    <w:rsid w:val="00BA6B73"/>
    <w:rsid w:val="00BD764B"/>
    <w:rsid w:val="00C54769"/>
    <w:rsid w:val="00C64371"/>
    <w:rsid w:val="00C75DB2"/>
    <w:rsid w:val="00C92468"/>
    <w:rsid w:val="00C927CC"/>
    <w:rsid w:val="00C961ED"/>
    <w:rsid w:val="00C97136"/>
    <w:rsid w:val="00CA7026"/>
    <w:rsid w:val="00CB50FE"/>
    <w:rsid w:val="00CE4BB5"/>
    <w:rsid w:val="00CE5EF5"/>
    <w:rsid w:val="00CF7231"/>
    <w:rsid w:val="00D17C84"/>
    <w:rsid w:val="00D61544"/>
    <w:rsid w:val="00DC59FB"/>
    <w:rsid w:val="00DC680E"/>
    <w:rsid w:val="00DE63E2"/>
    <w:rsid w:val="00DE717F"/>
    <w:rsid w:val="00DF324A"/>
    <w:rsid w:val="00DF5F2C"/>
    <w:rsid w:val="00E01946"/>
    <w:rsid w:val="00E064FC"/>
    <w:rsid w:val="00E13FBE"/>
    <w:rsid w:val="00E20C14"/>
    <w:rsid w:val="00E40858"/>
    <w:rsid w:val="00E636FB"/>
    <w:rsid w:val="00EA20FC"/>
    <w:rsid w:val="00EB0A5F"/>
    <w:rsid w:val="00EB48D2"/>
    <w:rsid w:val="00EF46B2"/>
    <w:rsid w:val="00F10167"/>
    <w:rsid w:val="00F232A2"/>
    <w:rsid w:val="00F36B7D"/>
    <w:rsid w:val="00F5658E"/>
    <w:rsid w:val="00F63DD8"/>
    <w:rsid w:val="00F738AD"/>
    <w:rsid w:val="00F75B52"/>
    <w:rsid w:val="00F85248"/>
    <w:rsid w:val="00FC7614"/>
    <w:rsid w:val="00FD1C3B"/>
    <w:rsid w:val="00FD4FC5"/>
    <w:rsid w:val="00FF7293"/>
    <w:rsid w:val="08171FCD"/>
    <w:rsid w:val="290384BD"/>
    <w:rsid w:val="2E9E74C1"/>
    <w:rsid w:val="3839D67F"/>
    <w:rsid w:val="3DD3057D"/>
    <w:rsid w:val="406384A1"/>
    <w:rsid w:val="47186402"/>
    <w:rsid w:val="48994677"/>
    <w:rsid w:val="5B94FCCE"/>
    <w:rsid w:val="5BBF5B02"/>
    <w:rsid w:val="5D5B2B63"/>
    <w:rsid w:val="6102FA2E"/>
    <w:rsid w:val="629ECA8F"/>
    <w:rsid w:val="64D8B8FD"/>
    <w:rsid w:val="65D9A2CE"/>
    <w:rsid w:val="72C65C01"/>
    <w:rsid w:val="794EA11C"/>
    <w:rsid w:val="7CB20265"/>
    <w:rsid w:val="7F823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A4DD7A"/>
  <w14:defaultImageDpi w14:val="0"/>
  <w15:docId w15:val="{9F3AE43B-65CC-46C3-9BAA-99697B902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DB2"/>
    <w:pPr>
      <w:spacing w:after="200" w:line="276" w:lineRule="auto"/>
    </w:pPr>
    <w:rPr>
      <w:rFonts w:ascii="Ubuntu" w:hAnsi="Ubuntu"/>
      <w:sz w:val="22"/>
      <w:szCs w:val="22"/>
    </w:rPr>
  </w:style>
  <w:style w:type="paragraph" w:styleId="Heading3">
    <w:name w:val="heading 3"/>
    <w:basedOn w:val="Normal"/>
    <w:next w:val="Normal"/>
    <w:link w:val="Heading3Char"/>
    <w:unhideWhenUsed/>
    <w:qFormat/>
    <w:rsid w:val="008B1E56"/>
    <w:pPr>
      <w:keepNext/>
      <w:spacing w:before="240" w:after="60" w:line="240" w:lineRule="auto"/>
      <w:outlineLvl w:val="2"/>
    </w:pPr>
    <w:rPr>
      <w:b/>
      <w:bCs/>
      <w:snapToGrid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0D68D4"/>
    <w:pPr>
      <w:ind w:left="720"/>
    </w:pPr>
  </w:style>
  <w:style w:type="paragraph" w:styleId="BalloonText">
    <w:name w:val="Balloon Text"/>
    <w:basedOn w:val="Normal"/>
    <w:link w:val="BalloonTextChar"/>
    <w:uiPriority w:val="99"/>
    <w:semiHidden/>
    <w:unhideWhenUsed/>
    <w:rsid w:val="00FD1C3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D1C3B"/>
    <w:rPr>
      <w:rFonts w:ascii="Tahoma" w:hAnsi="Tahoma" w:cs="Tahoma"/>
      <w:sz w:val="16"/>
      <w:szCs w:val="16"/>
    </w:rPr>
  </w:style>
  <w:style w:type="paragraph" w:styleId="Header">
    <w:name w:val="header"/>
    <w:basedOn w:val="Normal"/>
    <w:link w:val="HeaderChar"/>
    <w:uiPriority w:val="99"/>
    <w:unhideWhenUsed/>
    <w:rsid w:val="005B2FBF"/>
    <w:pPr>
      <w:tabs>
        <w:tab w:val="center" w:pos="4680"/>
        <w:tab w:val="right" w:pos="9360"/>
      </w:tabs>
    </w:pPr>
  </w:style>
  <w:style w:type="character" w:customStyle="1" w:styleId="HeaderChar">
    <w:name w:val="Header Char"/>
    <w:link w:val="Header"/>
    <w:uiPriority w:val="99"/>
    <w:rsid w:val="005B2FBF"/>
    <w:rPr>
      <w:sz w:val="22"/>
      <w:szCs w:val="22"/>
    </w:rPr>
  </w:style>
  <w:style w:type="paragraph" w:styleId="Footer">
    <w:name w:val="footer"/>
    <w:basedOn w:val="Normal"/>
    <w:link w:val="FooterChar"/>
    <w:uiPriority w:val="99"/>
    <w:unhideWhenUsed/>
    <w:rsid w:val="005B2FBF"/>
    <w:pPr>
      <w:tabs>
        <w:tab w:val="center" w:pos="4680"/>
        <w:tab w:val="right" w:pos="9360"/>
      </w:tabs>
    </w:pPr>
  </w:style>
  <w:style w:type="character" w:customStyle="1" w:styleId="FooterChar">
    <w:name w:val="Footer Char"/>
    <w:link w:val="Footer"/>
    <w:uiPriority w:val="99"/>
    <w:rsid w:val="005B2FBF"/>
    <w:rPr>
      <w:sz w:val="22"/>
      <w:szCs w:val="22"/>
    </w:rPr>
  </w:style>
  <w:style w:type="character" w:styleId="CommentReference">
    <w:name w:val="annotation reference"/>
    <w:basedOn w:val="DefaultParagraphFont"/>
    <w:uiPriority w:val="99"/>
    <w:semiHidden/>
    <w:unhideWhenUsed/>
    <w:rsid w:val="00412549"/>
    <w:rPr>
      <w:sz w:val="16"/>
      <w:szCs w:val="16"/>
    </w:rPr>
  </w:style>
  <w:style w:type="paragraph" w:styleId="CommentText">
    <w:name w:val="annotation text"/>
    <w:basedOn w:val="Normal"/>
    <w:link w:val="CommentTextChar"/>
    <w:uiPriority w:val="99"/>
    <w:semiHidden/>
    <w:unhideWhenUsed/>
    <w:rsid w:val="00412549"/>
    <w:rPr>
      <w:sz w:val="20"/>
      <w:szCs w:val="20"/>
    </w:rPr>
  </w:style>
  <w:style w:type="character" w:customStyle="1" w:styleId="CommentTextChar">
    <w:name w:val="Comment Text Char"/>
    <w:basedOn w:val="DefaultParagraphFont"/>
    <w:link w:val="CommentText"/>
    <w:uiPriority w:val="99"/>
    <w:semiHidden/>
    <w:rsid w:val="00412549"/>
  </w:style>
  <w:style w:type="paragraph" w:styleId="CommentSubject">
    <w:name w:val="annotation subject"/>
    <w:basedOn w:val="CommentText"/>
    <w:next w:val="CommentText"/>
    <w:link w:val="CommentSubjectChar"/>
    <w:uiPriority w:val="99"/>
    <w:semiHidden/>
    <w:unhideWhenUsed/>
    <w:rsid w:val="00412549"/>
    <w:rPr>
      <w:b/>
      <w:bCs/>
    </w:rPr>
  </w:style>
  <w:style w:type="character" w:customStyle="1" w:styleId="CommentSubjectChar">
    <w:name w:val="Comment Subject Char"/>
    <w:basedOn w:val="CommentTextChar"/>
    <w:link w:val="CommentSubject"/>
    <w:uiPriority w:val="99"/>
    <w:semiHidden/>
    <w:rsid w:val="00412549"/>
    <w:rPr>
      <w:b/>
      <w:bCs/>
    </w:rPr>
  </w:style>
  <w:style w:type="paragraph" w:styleId="NoSpacing">
    <w:name w:val="No Spacing"/>
    <w:uiPriority w:val="1"/>
    <w:qFormat/>
    <w:rsid w:val="006F3B64"/>
    <w:rPr>
      <w:rFonts w:ascii="Ubuntu" w:hAnsi="Ubuntu"/>
      <w:sz w:val="22"/>
      <w:szCs w:val="22"/>
    </w:rPr>
  </w:style>
  <w:style w:type="character" w:customStyle="1" w:styleId="Heading3Char">
    <w:name w:val="Heading 3 Char"/>
    <w:basedOn w:val="DefaultParagraphFont"/>
    <w:link w:val="Heading3"/>
    <w:rsid w:val="008B1E56"/>
    <w:rPr>
      <w:rFonts w:ascii="Ubuntu" w:hAnsi="Ubuntu"/>
      <w:b/>
      <w:bCs/>
      <w:snapToGrid w:val="0"/>
      <w:sz w:val="22"/>
      <w:szCs w:val="26"/>
    </w:rPr>
  </w:style>
  <w:style w:type="character" w:styleId="UnresolvedMention">
    <w:name w:val="Unresolved Mention"/>
    <w:basedOn w:val="DefaultParagraphFont"/>
    <w:uiPriority w:val="99"/>
    <w:unhideWhenUsed/>
    <w:rsid w:val="00A7672E"/>
    <w:rPr>
      <w:color w:val="605E5C"/>
      <w:shd w:val="clear" w:color="auto" w:fill="E1DFDD"/>
    </w:rPr>
  </w:style>
  <w:style w:type="character" w:styleId="Mention">
    <w:name w:val="Mention"/>
    <w:basedOn w:val="DefaultParagraphFont"/>
    <w:uiPriority w:val="99"/>
    <w:unhideWhenUsed/>
    <w:rsid w:val="00A7672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10af7b9-28c5-4861-84c8-83ffc010355d">
      <UserInfo>
        <DisplayName/>
        <AccountId xsi:nil="true"/>
        <AccountType/>
      </UserInfo>
    </SharedWithUsers>
    <_Flow_SignoffStatus xmlns="d7df8958-a30d-425e-a331-e7ccce1028a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7E6BA9E9CA1348B6A15C68BEB53414" ma:contentTypeVersion="15" ma:contentTypeDescription="Create a new document." ma:contentTypeScope="" ma:versionID="a28937434f68c7af03cd51d9b75a930e">
  <xsd:schema xmlns:xsd="http://www.w3.org/2001/XMLSchema" xmlns:xs="http://www.w3.org/2001/XMLSchema" xmlns:p="http://schemas.microsoft.com/office/2006/metadata/properties" xmlns:ns2="f10af7b9-28c5-4861-84c8-83ffc010355d" xmlns:ns3="d7df8958-a30d-425e-a331-e7ccce1028aa" targetNamespace="http://schemas.microsoft.com/office/2006/metadata/properties" ma:root="true" ma:fieldsID="3c7dbcf2484aff098bfdb73bbdb48388" ns2:_="" ns3:_="">
    <xsd:import namespace="f10af7b9-28c5-4861-84c8-83ffc010355d"/>
    <xsd:import namespace="d7df8958-a30d-425e-a331-e7ccce1028a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_Flow_SignoffStatu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0af7b9-28c5-4861-84c8-83ffc010355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df8958-a30d-425e-a331-e7ccce1028a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D14DBE-8A80-4B13-8A41-18CF9BE6AB79}">
  <ds:schemaRefs>
    <ds:schemaRef ds:uri="http://schemas.microsoft.com/sharepoint/v3/contenttype/forms"/>
  </ds:schemaRefs>
</ds:datastoreItem>
</file>

<file path=customXml/itemProps2.xml><?xml version="1.0" encoding="utf-8"?>
<ds:datastoreItem xmlns:ds="http://schemas.openxmlformats.org/officeDocument/2006/customXml" ds:itemID="{4F132439-FA1C-4340-8F57-8734B2B9669E}">
  <ds:schemaRefs>
    <ds:schemaRef ds:uri="http://schemas.microsoft.com/office/2006/metadata/properties"/>
    <ds:schemaRef ds:uri="http://schemas.microsoft.com/office/infopath/2007/PartnerControls"/>
    <ds:schemaRef ds:uri="547c221c-f04f-4bbb-9217-0e507b149322"/>
  </ds:schemaRefs>
</ds:datastoreItem>
</file>

<file path=customXml/itemProps3.xml><?xml version="1.0" encoding="utf-8"?>
<ds:datastoreItem xmlns:ds="http://schemas.openxmlformats.org/officeDocument/2006/customXml" ds:itemID="{DE5EBD42-66B2-4F9C-920D-1A8E706A1DF0}"/>
</file>

<file path=docProps/app.xml><?xml version="1.0" encoding="utf-8"?>
<Properties xmlns="http://schemas.openxmlformats.org/officeDocument/2006/extended-properties" xmlns:vt="http://schemas.openxmlformats.org/officeDocument/2006/docPropsVTypes">
  <Template>Normal.dotm</Template>
  <TotalTime>2</TotalTime>
  <Pages>2</Pages>
  <Words>516</Words>
  <Characters>2946</Characters>
  <Application>Microsoft Office Word</Application>
  <DocSecurity>0</DocSecurity>
  <Lines>24</Lines>
  <Paragraphs>6</Paragraphs>
  <ScaleCrop>false</ScaleCrop>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HEALTH DEVELOPMENT CORPORATION</dc:title>
  <dc:subject/>
  <dc:creator>Al Karniwiecz</dc:creator>
  <cp:keywords/>
  <dc:description/>
  <cp:lastModifiedBy>Karen Ferland</cp:lastModifiedBy>
  <cp:revision>62</cp:revision>
  <cp:lastPrinted>2016-03-09T21:09:00Z</cp:lastPrinted>
  <dcterms:created xsi:type="dcterms:W3CDTF">2022-05-02T14:22:00Z</dcterms:created>
  <dcterms:modified xsi:type="dcterms:W3CDTF">2022-05-05T19:31:00Z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0x010100E37E6BA9E9CA1348B6A15C68BEB53414</vt:lpwstr>
  </property>
  <property fmtid="{D5CDD505-2E9C-101B-9397-08002B2CF9AE}" pid="3" name="Order">
    <vt:r8>130900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ies>
</file>